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40"/>
        <w:jc w:val="both"/>
        <w:spacing w:before="200" w:after="0" w:line="240" w:lineRule="auto"/>
        <w:rPr>
          <w:rFonts w:ascii="Arial" w:hAnsi="Arial" w:cs="Arial"/>
          <w:b/>
          <w:sz w:val="20"/>
          <w:szCs w:val="20"/>
        </w:rPr>
      </w:pPr>
      <w:r/>
      <w:bookmarkStart w:id="0" w:name="Par19"/>
      <w:r/>
      <w:bookmarkEnd w:id="0"/>
      <w:r>
        <w:rPr>
          <w:rFonts w:ascii="Arial" w:hAnsi="Arial" w:cs="Arial"/>
          <w:b/>
          <w:sz w:val="20"/>
          <w:szCs w:val="20"/>
        </w:rPr>
        <w:t xml:space="preserve">В соответствии с пунктом 26 Правил 2130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к заявлению о </w:t>
      </w:r>
      <w:r>
        <w:rPr>
          <w:rFonts w:ascii="Arial" w:hAnsi="Arial" w:cs="Arial"/>
          <w:b/>
          <w:sz w:val="20"/>
          <w:szCs w:val="20"/>
        </w:rPr>
        <w:t xml:space="preserve">заключении</w:t>
      </w:r>
      <w:r>
        <w:rPr>
          <w:rFonts w:ascii="Arial" w:hAnsi="Arial" w:cs="Arial"/>
          <w:b/>
          <w:sz w:val="20"/>
          <w:szCs w:val="20"/>
        </w:rPr>
        <w:t xml:space="preserve"> договора о подключении должны быть приложены следующие документы:</w:t>
      </w:r>
      <w:r>
        <w:rPr>
          <w:rFonts w:ascii="Arial" w:hAnsi="Arial" w:cs="Arial"/>
          <w:b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Style w:val="623"/>
        <w:numPr>
          <w:ilvl w:val="0"/>
          <w:numId w:val="1"/>
        </w:numPr>
        <w:jc w:val="both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копия паспорта или иного документа, удостоверяющего личность (для физических лиц), а также документы, подтверждающие полномочия лица, подписавшего заявление;</w:t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pStyle w:val="623"/>
        <w:ind w:left="900"/>
        <w:jc w:val="both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pStyle w:val="623"/>
        <w:numPr>
          <w:ilvl w:val="0"/>
          <w:numId w:val="1"/>
        </w:numPr>
        <w:jc w:val="both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копии </w:t>
      </w:r>
      <w:r>
        <w:rPr>
          <w:rFonts w:ascii="Arial" w:hAnsi="Arial" w:cs="Arial"/>
          <w:b/>
          <w:bCs/>
          <w:sz w:val="20"/>
          <w:szCs w:val="20"/>
        </w:rPr>
        <w:t xml:space="preserve">правоудостоверяющих</w:t>
      </w:r>
      <w:r>
        <w:rPr>
          <w:rFonts w:ascii="Arial" w:hAnsi="Arial" w:cs="Arial"/>
          <w:b/>
          <w:bCs/>
          <w:sz w:val="20"/>
          <w:szCs w:val="20"/>
        </w:rPr>
        <w:t xml:space="preserve"> документов на земельный участок, </w:t>
      </w:r>
      <w:r>
        <w:rPr>
          <w:rFonts w:ascii="Arial" w:hAnsi="Arial" w:cs="Arial"/>
          <w:bCs/>
          <w:sz w:val="20"/>
          <w:szCs w:val="20"/>
        </w:rPr>
        <w:t xml:space="preserve">на котором размещен (планируется к размещению) подключаемый объект или который является подключаемым объектом.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При представлении в качестве </w:t>
      </w:r>
      <w:r>
        <w:rPr>
          <w:rFonts w:ascii="Arial" w:hAnsi="Arial" w:cs="Arial"/>
          <w:bCs/>
          <w:sz w:val="20"/>
          <w:szCs w:val="20"/>
        </w:rPr>
        <w:t xml:space="preserve">правоудостоверяющего</w:t>
      </w:r>
      <w:r>
        <w:rPr>
          <w:rFonts w:ascii="Arial" w:hAnsi="Arial" w:cs="Arial"/>
          <w:bCs/>
          <w:sz w:val="20"/>
          <w:szCs w:val="20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 </w:t>
      </w:r>
      <w:r>
        <w:rPr>
          <w:rFonts w:ascii="Arial" w:hAnsi="Arial" w:cs="Arial"/>
          <w:b/>
          <w:bCs/>
          <w:sz w:val="20"/>
          <w:szCs w:val="20"/>
        </w:rPr>
        <w:t xml:space="preserve">При отсутствии </w:t>
      </w:r>
      <w:r>
        <w:rPr>
          <w:rFonts w:ascii="Arial" w:hAnsi="Arial" w:cs="Arial"/>
          <w:b/>
          <w:bCs/>
          <w:sz w:val="20"/>
          <w:szCs w:val="20"/>
        </w:rPr>
        <w:t xml:space="preserve">правоудостоверяющих</w:t>
      </w:r>
      <w:r>
        <w:rPr>
          <w:rFonts w:ascii="Arial" w:hAnsi="Arial" w:cs="Arial"/>
          <w:b/>
          <w:bCs/>
          <w:sz w:val="20"/>
          <w:szCs w:val="20"/>
        </w:rPr>
        <w:t xml:space="preserve"> документов прилагаются копии правоустанавливающих документов.</w:t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jc w:val="both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pStyle w:val="623"/>
        <w:numPr>
          <w:ilvl w:val="0"/>
          <w:numId w:val="1"/>
        </w:numPr>
        <w:jc w:val="both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копии </w:t>
      </w:r>
      <w:r>
        <w:rPr>
          <w:rFonts w:ascii="Arial" w:hAnsi="Arial" w:cs="Arial"/>
          <w:b/>
          <w:bCs/>
          <w:sz w:val="20"/>
          <w:szCs w:val="20"/>
        </w:rPr>
        <w:t xml:space="preserve">правоудостоверяющих</w:t>
      </w:r>
      <w:r>
        <w:rPr>
          <w:rFonts w:ascii="Arial" w:hAnsi="Arial" w:cs="Arial"/>
          <w:b/>
          <w:bCs/>
          <w:sz w:val="20"/>
          <w:szCs w:val="20"/>
        </w:rPr>
        <w:t xml:space="preserve"> документов на подключаемый объект, ранее построенный и введенный в эксплуатацию, </w:t>
      </w:r>
      <w:r>
        <w:rPr>
          <w:rFonts w:ascii="Arial" w:hAnsi="Arial" w:cs="Arial"/>
          <w:bCs/>
          <w:sz w:val="20"/>
          <w:szCs w:val="20"/>
        </w:rPr>
        <w:t xml:space="preserve">а для строящихся объект</w:t>
      </w:r>
      <w:r>
        <w:rPr>
          <w:rFonts w:ascii="Arial" w:hAnsi="Arial" w:cs="Arial"/>
          <w:bCs/>
          <w:sz w:val="20"/>
          <w:szCs w:val="20"/>
        </w:rPr>
        <w:t xml:space="preserve">ов - копия разрешения на строительство (за исключением объектов, выдача разрешения на строительство не требуется, и объектов, строительство которых находится в стадии архитектурно-строительного проектирования) при его наличии. При представлении в качестве </w:t>
      </w:r>
      <w:r>
        <w:rPr>
          <w:rFonts w:ascii="Arial" w:hAnsi="Arial" w:cs="Arial"/>
          <w:bCs/>
          <w:sz w:val="20"/>
          <w:szCs w:val="20"/>
        </w:rPr>
        <w:t xml:space="preserve">правоудостоверяющего</w:t>
      </w:r>
      <w:r>
        <w:rPr>
          <w:rFonts w:ascii="Arial" w:hAnsi="Arial" w:cs="Arial"/>
          <w:bCs/>
          <w:sz w:val="20"/>
          <w:szCs w:val="20"/>
        </w:rPr>
        <w:t xml:space="preserve"> документа копии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  <w:r>
        <w:rPr>
          <w:rFonts w:ascii="Arial" w:hAnsi="Arial" w:cs="Arial"/>
          <w:b/>
          <w:bCs/>
          <w:sz w:val="20"/>
          <w:szCs w:val="20"/>
        </w:rPr>
        <w:t xml:space="preserve"> При отсутствии </w:t>
      </w:r>
      <w:r>
        <w:rPr>
          <w:rFonts w:ascii="Arial" w:hAnsi="Arial" w:cs="Arial"/>
          <w:b/>
          <w:bCs/>
          <w:sz w:val="20"/>
          <w:szCs w:val="20"/>
        </w:rPr>
        <w:t xml:space="preserve">правоудостоверяющих</w:t>
      </w:r>
      <w:r>
        <w:rPr>
          <w:rFonts w:ascii="Arial" w:hAnsi="Arial" w:cs="Arial"/>
          <w:b/>
          <w:bCs/>
          <w:sz w:val="20"/>
          <w:szCs w:val="20"/>
        </w:rPr>
        <w:t xml:space="preserve"> документов прилагаются копии правоустанавливающих документов.</w:t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4) </w:t>
      </w:r>
      <w:r>
        <w:rPr>
          <w:rFonts w:ascii="Arial" w:hAnsi="Arial" w:cs="Arial"/>
          <w:b/>
          <w:sz w:val="20"/>
          <w:szCs w:val="20"/>
        </w:rPr>
        <w:t xml:space="preserve">ситуационный план</w:t>
      </w:r>
      <w:r>
        <w:rPr>
          <w:rFonts w:ascii="Arial" w:hAnsi="Arial" w:cs="Arial"/>
          <w:sz w:val="20"/>
          <w:szCs w:val="20"/>
        </w:rPr>
        <w:t xml:space="preserve"> расположения объекта с привязкой к территории населенного пункта;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5) </w:t>
      </w:r>
      <w:r>
        <w:rPr>
          <w:rFonts w:ascii="Arial" w:hAnsi="Arial" w:cs="Arial"/>
          <w:b/>
          <w:sz w:val="20"/>
          <w:szCs w:val="20"/>
        </w:rPr>
        <w:t xml:space="preserve">топографическая карта земельного участка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в масштабе 1:500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со всеми наземными и подземными коммуникациями и сооружениями</w:t>
      </w:r>
      <w:r>
        <w:rPr>
          <w:rFonts w:ascii="Arial" w:hAnsi="Arial" w:cs="Arial"/>
          <w:sz w:val="20"/>
          <w:szCs w:val="20"/>
        </w:rPr>
        <w:t xml:space="preserve">;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6) </w:t>
      </w:r>
      <w:r>
        <w:rPr>
          <w:rFonts w:ascii="Arial" w:hAnsi="Arial" w:cs="Arial"/>
          <w:b/>
          <w:sz w:val="20"/>
          <w:szCs w:val="20"/>
        </w:rPr>
        <w:t xml:space="preserve">баланс водопотребления и водоотведения подключаемого объекта</w:t>
      </w:r>
      <w:r>
        <w:rPr>
          <w:rFonts w:ascii="Arial" w:hAnsi="Arial" w:cs="Arial"/>
          <w:sz w:val="20"/>
          <w:szCs w:val="20"/>
        </w:rPr>
        <w:t xml:space="preserve"> в период использования максимальной величины мощности (нагрузки) с указанием целей использования холодной воды и расп</w:t>
      </w:r>
      <w:r>
        <w:rPr>
          <w:rFonts w:ascii="Arial" w:hAnsi="Arial" w:cs="Arial"/>
          <w:sz w:val="20"/>
          <w:szCs w:val="20"/>
        </w:rPr>
        <w:t xml:space="preserve">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</w:t>
      </w:r>
      <w:r>
        <w:rPr>
          <w:rFonts w:ascii="Arial" w:hAnsi="Arial" w:cs="Arial"/>
          <w:sz w:val="20"/>
          <w:szCs w:val="20"/>
        </w:rPr>
        <w:t xml:space="preserve">зационным выпускам (процентов);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7) </w:t>
      </w:r>
      <w:r>
        <w:rPr>
          <w:rFonts w:ascii="Arial" w:hAnsi="Arial" w:cs="Arial"/>
          <w:b/>
          <w:sz w:val="20"/>
          <w:szCs w:val="20"/>
        </w:rPr>
        <w:t xml:space="preserve">градостроительный план земельного участка</w:t>
      </w:r>
      <w:r>
        <w:rPr>
          <w:rFonts w:ascii="Arial" w:hAnsi="Arial" w:cs="Arial"/>
          <w:sz w:val="20"/>
          <w:szCs w:val="20"/>
        </w:rPr>
        <w:t xml:space="preserve">, а при подключении водопроводных и канализационных сетей - проект планировки территории</w:t>
      </w:r>
      <w:r>
        <w:rPr>
          <w:rFonts w:ascii="Arial" w:hAnsi="Arial" w:cs="Arial"/>
          <w:sz w:val="20"/>
          <w:szCs w:val="20"/>
        </w:rPr>
        <w:t xml:space="preserve"> и проект межевания территории.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заявлению о подключении Заявитель вправе приложить результаты инженерных изысканий, либо ссылку на информационную систему, где размещены вышеуказанные результаты. </w:t>
      </w:r>
      <w:r>
        <w:rPr>
          <w:rFonts w:ascii="Arial" w:hAnsi="Arial" w:cs="Arial"/>
          <w:sz w:val="20"/>
          <w:szCs w:val="20"/>
        </w:rPr>
      </w:r>
    </w:p>
    <w:p>
      <w:pPr>
        <w:jc w:val="both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jc w:val="both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ИСКЛЮЧЕНИЕ по предоставлению правоустанавливающих документов </w:t>
      </w:r>
      <w:r>
        <w:rPr>
          <w:rFonts w:ascii="Arial" w:hAnsi="Arial" w:cs="Arial"/>
          <w:sz w:val="20"/>
          <w:szCs w:val="20"/>
        </w:rPr>
        <w:t xml:space="preserve">на земельный участок</w:t>
      </w:r>
      <w:r>
        <w:rPr>
          <w:rFonts w:ascii="Arial" w:hAnsi="Arial" w:cs="Arial"/>
          <w:b/>
          <w:sz w:val="20"/>
          <w:szCs w:val="20"/>
        </w:rPr>
        <w:t xml:space="preserve"> МОЖЕТ БЫТЬ </w:t>
      </w:r>
      <w:r>
        <w:rPr>
          <w:rFonts w:ascii="Arial" w:hAnsi="Arial" w:cs="Arial"/>
          <w:sz w:val="20"/>
          <w:szCs w:val="20"/>
        </w:rPr>
        <w:t xml:space="preserve">при обращениях</w:t>
      </w:r>
      <w:r>
        <w:rPr>
          <w:rFonts w:ascii="Arial" w:hAnsi="Arial" w:cs="Arial"/>
          <w:b/>
          <w:sz w:val="20"/>
          <w:szCs w:val="20"/>
        </w:rPr>
        <w:t xml:space="preserve"> следующих заявителей:</w:t>
      </w:r>
      <w:r>
        <w:rPr>
          <w:rFonts w:ascii="Arial" w:hAnsi="Arial" w:cs="Arial"/>
          <w:b/>
          <w:sz w:val="20"/>
          <w:szCs w:val="20"/>
        </w:rPr>
      </w:r>
    </w:p>
    <w:p>
      <w:pPr>
        <w:jc w:val="both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jc w:val="both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При обра</w:t>
      </w:r>
      <w:bookmarkStart w:id="1" w:name="_GoBack"/>
      <w:r/>
      <w:bookmarkEnd w:id="1"/>
      <w:r>
        <w:rPr>
          <w:rFonts w:ascii="Arial" w:hAnsi="Arial" w:cs="Arial"/>
          <w:b/>
          <w:sz w:val="20"/>
          <w:szCs w:val="20"/>
        </w:rPr>
        <w:t xml:space="preserve">щении с заявлением о подключении лиц, с которым заключен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договор о комплексном развитии территории</w:t>
      </w:r>
      <w:r>
        <w:rPr>
          <w:rFonts w:ascii="Arial" w:hAnsi="Arial" w:cs="Arial"/>
          <w:sz w:val="20"/>
          <w:szCs w:val="20"/>
        </w:rPr>
        <w:t xml:space="preserve">, к заявлению о подключении </w:t>
      </w:r>
      <w:r>
        <w:rPr>
          <w:rFonts w:ascii="Arial" w:hAnsi="Arial" w:cs="Arial"/>
          <w:b/>
          <w:sz w:val="20"/>
          <w:szCs w:val="20"/>
        </w:rPr>
        <w:t xml:space="preserve">должны быть приложены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копия договора о комплексном развитии территории</w:t>
      </w:r>
      <w:r>
        <w:rPr>
          <w:rFonts w:ascii="Arial" w:hAnsi="Arial" w:cs="Arial"/>
          <w:sz w:val="20"/>
          <w:szCs w:val="20"/>
        </w:rPr>
        <w:t xml:space="preserve">, копии утвержденных в установленных порядке проекта пл</w:t>
      </w:r>
      <w:r>
        <w:rPr>
          <w:rFonts w:ascii="Arial" w:hAnsi="Arial" w:cs="Arial"/>
          <w:sz w:val="20"/>
          <w:szCs w:val="20"/>
        </w:rPr>
        <w:t xml:space="preserve">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участка.</w:t>
      </w:r>
      <w:r>
        <w:rPr>
          <w:rFonts w:ascii="Arial" w:hAnsi="Arial" w:cs="Arial"/>
          <w:sz w:val="20"/>
          <w:szCs w:val="20"/>
        </w:rPr>
      </w:r>
    </w:p>
    <w:p>
      <w:pPr>
        <w:jc w:val="both"/>
        <w:spacing w:before="200" w:after="0" w:line="240" w:lineRule="auto"/>
        <w:rPr>
          <w:rFonts w:ascii="Arial" w:hAnsi="Arial" w:cs="Arial"/>
          <w:sz w:val="20"/>
          <w:szCs w:val="20"/>
        </w:rPr>
      </w:pPr>
      <w:r/>
      <w:bookmarkStart w:id="2" w:name="Par24"/>
      <w:r/>
      <w:bookmarkEnd w:id="2"/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 xml:space="preserve">В целях строительства объектов федерального значения, объектов регионального значения, объектов местного значения</w:t>
      </w:r>
      <w:r>
        <w:rPr>
          <w:rFonts w:ascii="Arial" w:hAnsi="Arial" w:cs="Arial"/>
          <w:sz w:val="20"/>
          <w:szCs w:val="20"/>
        </w:rPr>
        <w:t xml:space="preserve"> при обращении с заявлением о подключении лиц – </w:t>
      </w:r>
      <w:r>
        <w:rPr>
          <w:rFonts w:ascii="Arial" w:hAnsi="Arial" w:cs="Arial"/>
          <w:b/>
          <w:sz w:val="20"/>
          <w:szCs w:val="20"/>
        </w:rPr>
        <w:t xml:space="preserve">органов </w:t>
      </w:r>
      <w:r>
        <w:rPr>
          <w:rFonts w:ascii="Arial" w:hAnsi="Arial" w:cs="Arial"/>
          <w:b/>
          <w:sz w:val="20"/>
          <w:szCs w:val="20"/>
        </w:rPr>
        <w:t xml:space="preserve">фед</w:t>
      </w:r>
      <w:r>
        <w:rPr>
          <w:rFonts w:ascii="Arial" w:hAnsi="Arial" w:cs="Arial"/>
          <w:b/>
          <w:sz w:val="20"/>
          <w:szCs w:val="20"/>
        </w:rPr>
        <w:t xml:space="preserve">. власти и органов местного самоуправления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 xml:space="preserve">должны быть приложены копии решения о предварительном согласовании предоставления таким лицам земельного участка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в указанных целях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 xml:space="preserve">утвержденного проекта межевания</w:t>
      </w:r>
      <w:r>
        <w:rPr>
          <w:rFonts w:ascii="Arial" w:hAnsi="Arial" w:cs="Arial"/>
          <w:sz w:val="20"/>
          <w:szCs w:val="20"/>
        </w:rPr>
        <w:t xml:space="preserve"> территории </w:t>
      </w:r>
      <w:r>
        <w:rPr>
          <w:rFonts w:ascii="Arial" w:hAnsi="Arial" w:cs="Arial"/>
          <w:b/>
          <w:sz w:val="20"/>
          <w:szCs w:val="20"/>
        </w:rPr>
        <w:t xml:space="preserve">и (или) градостроительного плана земельного участка</w:t>
      </w:r>
      <w:r>
        <w:rPr>
          <w:rFonts w:ascii="Arial" w:hAnsi="Arial" w:cs="Arial"/>
          <w:sz w:val="20"/>
          <w:szCs w:val="20"/>
        </w:rPr>
        <w:t xml:space="preserve"> и </w:t>
      </w:r>
      <w:r>
        <w:rPr>
          <w:rFonts w:ascii="Arial" w:hAnsi="Arial" w:cs="Arial"/>
          <w:b/>
          <w:sz w:val="20"/>
          <w:szCs w:val="20"/>
        </w:rPr>
        <w:t xml:space="preserve">утвержденной</w:t>
      </w:r>
      <w:r>
        <w:rPr>
          <w:rFonts w:ascii="Arial" w:hAnsi="Arial" w:cs="Arial"/>
          <w:sz w:val="20"/>
          <w:szCs w:val="20"/>
        </w:rPr>
        <w:t xml:space="preserve"> в соответствии с земельным законодательством </w:t>
      </w:r>
      <w:r>
        <w:rPr>
          <w:rFonts w:ascii="Arial" w:hAnsi="Arial" w:cs="Arial"/>
          <w:b/>
          <w:sz w:val="20"/>
          <w:szCs w:val="20"/>
        </w:rPr>
        <w:t xml:space="preserve">схемы расположения земельного участка</w:t>
      </w:r>
      <w:r>
        <w:rPr>
          <w:rFonts w:ascii="Arial" w:hAnsi="Arial" w:cs="Arial"/>
          <w:sz w:val="20"/>
          <w:szCs w:val="20"/>
        </w:rPr>
        <w:t xml:space="preserve"> или земельных участков на кадастровом плане территории;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sectPr>
      <w:footnotePr/>
      <w:endnotePr/>
      <w:type w:val="nextPage"/>
      <w:pgSz w:w="11906" w:h="16838" w:orient="portrait"/>
      <w:pgMar w:top="709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Нижегородский водоканал, ОАО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Русинова Марина Евгеньевна</dc:creator>
  <cp:keywords/>
  <dc:description/>
  <cp:lastModifiedBy>Алексей Мелентьев</cp:lastModifiedBy>
  <cp:revision>10</cp:revision>
  <dcterms:created xsi:type="dcterms:W3CDTF">2022-02-25T06:21:00Z</dcterms:created>
  <dcterms:modified xsi:type="dcterms:W3CDTF">2024-06-03T08:28:44Z</dcterms:modified>
</cp:coreProperties>
</file>